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C6" w:rsidRDefault="001959E4" w:rsidP="00A4798E">
      <w:pPr>
        <w:ind w:left="-284"/>
        <w:jc w:val="center"/>
        <w:rPr>
          <w:rFonts w:ascii="Arial" w:hAnsi="Arial" w:cs="Arial"/>
          <w:b/>
          <w:sz w:val="20"/>
        </w:rPr>
      </w:pPr>
      <w:r w:rsidRPr="001959E4">
        <w:rPr>
          <w:rFonts w:ascii="Arial" w:hAnsi="Arial" w:cs="Arial"/>
          <w:b/>
          <w:sz w:val="20"/>
        </w:rPr>
        <w:t>Р</w:t>
      </w:r>
      <w:r w:rsidR="008176C6" w:rsidRPr="001959E4">
        <w:rPr>
          <w:rFonts w:ascii="Arial" w:hAnsi="Arial" w:cs="Arial"/>
          <w:b/>
          <w:sz w:val="20"/>
        </w:rPr>
        <w:t>аспределитель противогололедных реагентов</w:t>
      </w:r>
      <w:r w:rsidR="008176C6">
        <w:rPr>
          <w:rFonts w:ascii="Arial" w:hAnsi="Arial" w:cs="Arial"/>
          <w:sz w:val="20"/>
        </w:rPr>
        <w:t xml:space="preserve"> </w:t>
      </w:r>
      <w:r w:rsidR="008176C6" w:rsidRPr="008176C6">
        <w:rPr>
          <w:rFonts w:ascii="Arial" w:hAnsi="Arial" w:cs="Arial"/>
          <w:b/>
          <w:sz w:val="20"/>
          <w:lang w:val="en-US"/>
        </w:rPr>
        <w:t>Snow</w:t>
      </w:r>
      <w:r w:rsidR="008176C6" w:rsidRPr="008176C6">
        <w:rPr>
          <w:rFonts w:ascii="Arial" w:hAnsi="Arial" w:cs="Arial"/>
          <w:b/>
          <w:sz w:val="20"/>
        </w:rPr>
        <w:t xml:space="preserve"> </w:t>
      </w:r>
      <w:r w:rsidR="008176C6" w:rsidRPr="008176C6">
        <w:rPr>
          <w:rFonts w:ascii="Arial" w:hAnsi="Arial" w:cs="Arial"/>
          <w:b/>
          <w:sz w:val="20"/>
          <w:lang w:val="en-US"/>
        </w:rPr>
        <w:t>Service</w:t>
      </w:r>
      <w:r w:rsidR="008176C6" w:rsidRPr="008176C6">
        <w:rPr>
          <w:rFonts w:ascii="Arial" w:hAnsi="Arial" w:cs="Arial"/>
          <w:b/>
          <w:sz w:val="20"/>
        </w:rPr>
        <w:t xml:space="preserve"> </w:t>
      </w:r>
      <w:r w:rsidR="008176C6" w:rsidRPr="008176C6">
        <w:rPr>
          <w:rFonts w:ascii="Arial" w:hAnsi="Arial" w:cs="Arial"/>
          <w:b/>
          <w:sz w:val="20"/>
          <w:lang w:val="en-US"/>
        </w:rPr>
        <w:t>SPR</w:t>
      </w:r>
      <w:r w:rsidR="008176C6" w:rsidRPr="008176C6">
        <w:rPr>
          <w:rFonts w:ascii="Arial" w:hAnsi="Arial" w:cs="Arial"/>
          <w:b/>
          <w:sz w:val="20"/>
        </w:rPr>
        <w:t xml:space="preserve"> </w:t>
      </w:r>
      <w:r w:rsidR="00130790">
        <w:rPr>
          <w:rFonts w:ascii="Arial" w:hAnsi="Arial" w:cs="Arial"/>
          <w:b/>
          <w:sz w:val="20"/>
        </w:rPr>
        <w:t>8</w:t>
      </w:r>
      <w:r w:rsidR="008176C6" w:rsidRPr="008176C6">
        <w:rPr>
          <w:rFonts w:ascii="Arial" w:hAnsi="Arial" w:cs="Arial"/>
          <w:b/>
          <w:sz w:val="20"/>
        </w:rPr>
        <w:t>000-</w:t>
      </w:r>
      <w:r w:rsidR="00130790">
        <w:rPr>
          <w:rFonts w:ascii="Arial" w:hAnsi="Arial" w:cs="Arial"/>
          <w:b/>
          <w:sz w:val="20"/>
        </w:rPr>
        <w:t>9</w:t>
      </w:r>
      <w:r w:rsidR="008176C6" w:rsidRPr="008176C6">
        <w:rPr>
          <w:rFonts w:ascii="Arial" w:hAnsi="Arial" w:cs="Arial"/>
          <w:b/>
          <w:sz w:val="20"/>
        </w:rPr>
        <w:t>000</w:t>
      </w:r>
      <w:r w:rsidR="008176C6">
        <w:rPr>
          <w:rFonts w:ascii="Arial" w:hAnsi="Arial" w:cs="Arial"/>
          <w:b/>
          <w:sz w:val="20"/>
        </w:rPr>
        <w:t xml:space="preserve"> </w:t>
      </w:r>
    </w:p>
    <w:p w:rsidR="008176C6" w:rsidRDefault="001959E4" w:rsidP="00A4798E">
      <w:pPr>
        <w:ind w:left="-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2147219</wp:posOffset>
            </wp:positionH>
            <wp:positionV relativeFrom="paragraph">
              <wp:posOffset>11866</wp:posOffset>
            </wp:positionV>
            <wp:extent cx="2150944" cy="1812380"/>
            <wp:effectExtent l="19050" t="0" r="1706" b="0"/>
            <wp:wrapNone/>
            <wp:docPr id="5" name="Рисунок 2" descr="C:\Documents and Settings\user3\Рабочий стол\spr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3\Рабочий стол\spr_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61" cy="181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D69" w:rsidRDefault="00CF4D69" w:rsidP="00A4798E">
      <w:pPr>
        <w:ind w:left="-284"/>
        <w:jc w:val="center"/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305586" w:rsidRPr="001959E4" w:rsidRDefault="00305586" w:rsidP="00305586">
      <w:pPr>
        <w:ind w:left="-567"/>
        <w:rPr>
          <w:sz w:val="16"/>
          <w:szCs w:val="16"/>
        </w:rPr>
      </w:pPr>
      <w:r w:rsidRPr="001959E4">
        <w:rPr>
          <w:sz w:val="16"/>
          <w:szCs w:val="16"/>
        </w:rPr>
        <w:t xml:space="preserve">Оборудование </w:t>
      </w:r>
      <w:r w:rsidRPr="001959E4">
        <w:rPr>
          <w:sz w:val="16"/>
          <w:szCs w:val="16"/>
          <w:lang w:val="en-US"/>
        </w:rPr>
        <w:t>Snow</w:t>
      </w:r>
      <w:r w:rsidRPr="001959E4">
        <w:rPr>
          <w:sz w:val="16"/>
          <w:szCs w:val="16"/>
        </w:rPr>
        <w:t xml:space="preserve"> </w:t>
      </w:r>
      <w:r w:rsidRPr="001959E4">
        <w:rPr>
          <w:sz w:val="16"/>
          <w:szCs w:val="16"/>
          <w:lang w:val="en-US"/>
        </w:rPr>
        <w:t>Service</w:t>
      </w:r>
      <w:r w:rsidRPr="001959E4">
        <w:rPr>
          <w:sz w:val="16"/>
          <w:szCs w:val="16"/>
        </w:rPr>
        <w:t xml:space="preserve"> серии </w:t>
      </w:r>
      <w:r w:rsidRPr="001959E4">
        <w:rPr>
          <w:sz w:val="16"/>
          <w:szCs w:val="16"/>
          <w:lang w:val="en-US"/>
        </w:rPr>
        <w:t>SPR</w:t>
      </w:r>
      <w:r w:rsidR="001959E4" w:rsidRPr="001959E4">
        <w:rPr>
          <w:sz w:val="16"/>
          <w:szCs w:val="16"/>
        </w:rPr>
        <w:t xml:space="preserve">  снабже</w:t>
      </w:r>
      <w:r w:rsidRPr="001959E4">
        <w:rPr>
          <w:sz w:val="16"/>
          <w:szCs w:val="16"/>
        </w:rPr>
        <w:t>н</w:t>
      </w:r>
      <w:r w:rsidR="001959E4" w:rsidRPr="001959E4">
        <w:rPr>
          <w:sz w:val="16"/>
          <w:szCs w:val="16"/>
        </w:rPr>
        <w:t>о</w:t>
      </w:r>
      <w:r w:rsidRPr="001959E4">
        <w:rPr>
          <w:sz w:val="16"/>
          <w:szCs w:val="16"/>
        </w:rPr>
        <w:t xml:space="preserve"> цепным конвейером из нержавеющей стали </w:t>
      </w:r>
      <w:r w:rsidRPr="001959E4">
        <w:rPr>
          <w:sz w:val="16"/>
          <w:szCs w:val="16"/>
          <w:lang w:val="en-US"/>
        </w:rPr>
        <w:t>AISI</w:t>
      </w:r>
      <w:r w:rsidRPr="001959E4">
        <w:rPr>
          <w:sz w:val="16"/>
          <w:szCs w:val="16"/>
        </w:rPr>
        <w:t xml:space="preserve"> 316, имеющим звенья синусоидальной формы. Соединительные пальцы, также изготовлены из нержавеющей стали </w:t>
      </w:r>
      <w:r w:rsidRPr="001959E4">
        <w:rPr>
          <w:sz w:val="16"/>
          <w:szCs w:val="16"/>
          <w:lang w:val="en-US"/>
        </w:rPr>
        <w:t>AISI</w:t>
      </w:r>
      <w:r w:rsidRPr="001959E4">
        <w:rPr>
          <w:sz w:val="16"/>
          <w:szCs w:val="16"/>
        </w:rPr>
        <w:t xml:space="preserve"> 316. Особая форма звеньев обеспечивает постоянное перем</w:t>
      </w:r>
      <w:r w:rsidRPr="001959E4">
        <w:rPr>
          <w:sz w:val="16"/>
          <w:szCs w:val="16"/>
        </w:rPr>
        <w:t>е</w:t>
      </w:r>
      <w:r w:rsidRPr="001959E4">
        <w:rPr>
          <w:sz w:val="16"/>
          <w:szCs w:val="16"/>
        </w:rPr>
        <w:t>шивание материала (соль, песок, гравий и их смеси) в бункере, тем самым обеспечивая равномерное разбрасывание.</w:t>
      </w:r>
    </w:p>
    <w:p w:rsidR="00305586" w:rsidRPr="001959E4" w:rsidRDefault="00305586" w:rsidP="00305586">
      <w:pPr>
        <w:ind w:left="-567"/>
        <w:rPr>
          <w:sz w:val="16"/>
          <w:szCs w:val="16"/>
        </w:rPr>
      </w:pPr>
      <w:r w:rsidRPr="001959E4">
        <w:rPr>
          <w:sz w:val="16"/>
          <w:szCs w:val="16"/>
        </w:rPr>
        <w:t xml:space="preserve">Преимущества цепного конвейера </w:t>
      </w:r>
      <w:r w:rsidRPr="001959E4">
        <w:rPr>
          <w:sz w:val="16"/>
          <w:szCs w:val="16"/>
          <w:lang w:val="en-US"/>
        </w:rPr>
        <w:t>SPR</w:t>
      </w:r>
      <w:r w:rsidRPr="001959E4">
        <w:rPr>
          <w:sz w:val="16"/>
          <w:szCs w:val="16"/>
        </w:rPr>
        <w:t>:</w:t>
      </w:r>
    </w:p>
    <w:p w:rsidR="00305586" w:rsidRPr="001959E4" w:rsidRDefault="00305586" w:rsidP="00305586">
      <w:pPr>
        <w:ind w:left="-567"/>
        <w:rPr>
          <w:sz w:val="16"/>
          <w:szCs w:val="16"/>
        </w:rPr>
      </w:pPr>
      <w:r w:rsidRPr="001959E4">
        <w:rPr>
          <w:sz w:val="16"/>
          <w:szCs w:val="16"/>
        </w:rPr>
        <w:t xml:space="preserve">- использование специального цепного  конвейера обеспечивает равномерную подачу и разбрасывание материала, независимо от его влажности и устраняет необходимость использовать дробилку или </w:t>
      </w:r>
      <w:r w:rsidRPr="001959E4">
        <w:rPr>
          <w:sz w:val="16"/>
          <w:szCs w:val="16"/>
          <w:lang w:val="en-US"/>
        </w:rPr>
        <w:t>V</w:t>
      </w:r>
      <w:r w:rsidRPr="001959E4">
        <w:rPr>
          <w:sz w:val="16"/>
          <w:szCs w:val="16"/>
        </w:rPr>
        <w:t>-образную раму;</w:t>
      </w:r>
    </w:p>
    <w:p w:rsidR="00305586" w:rsidRPr="001959E4" w:rsidRDefault="00305586" w:rsidP="00305586">
      <w:pPr>
        <w:ind w:left="-567"/>
        <w:rPr>
          <w:sz w:val="16"/>
          <w:szCs w:val="16"/>
        </w:rPr>
      </w:pPr>
      <w:r w:rsidRPr="001959E4">
        <w:rPr>
          <w:sz w:val="16"/>
          <w:szCs w:val="16"/>
        </w:rPr>
        <w:t xml:space="preserve">- цепной конвейер целиком изготовлен из нержавеющей стали </w:t>
      </w:r>
      <w:r w:rsidRPr="001959E4">
        <w:rPr>
          <w:sz w:val="16"/>
          <w:szCs w:val="16"/>
          <w:lang w:val="en-US"/>
        </w:rPr>
        <w:t>AISI</w:t>
      </w:r>
      <w:r w:rsidRPr="001959E4">
        <w:rPr>
          <w:sz w:val="16"/>
          <w:szCs w:val="16"/>
        </w:rPr>
        <w:t xml:space="preserve"> 316, благодаря этому он устойчив к коррозии, вызываемой солью;</w:t>
      </w:r>
    </w:p>
    <w:p w:rsidR="00305586" w:rsidRPr="001959E4" w:rsidRDefault="00305586" w:rsidP="00305586">
      <w:pPr>
        <w:ind w:left="-567"/>
        <w:rPr>
          <w:sz w:val="16"/>
          <w:szCs w:val="16"/>
        </w:rPr>
      </w:pPr>
      <w:r w:rsidRPr="001959E4">
        <w:rPr>
          <w:sz w:val="16"/>
          <w:szCs w:val="16"/>
        </w:rPr>
        <w:t>- гарантия на цепной конвейер – 10 лет;</w:t>
      </w:r>
    </w:p>
    <w:p w:rsidR="00305586" w:rsidRPr="001959E4" w:rsidRDefault="00305586" w:rsidP="00305586">
      <w:pPr>
        <w:ind w:left="-567"/>
        <w:rPr>
          <w:sz w:val="16"/>
          <w:szCs w:val="16"/>
        </w:rPr>
      </w:pPr>
      <w:r w:rsidRPr="001959E4">
        <w:rPr>
          <w:sz w:val="16"/>
          <w:szCs w:val="16"/>
        </w:rPr>
        <w:t>- минимальное требование к обслуживанию.</w:t>
      </w:r>
    </w:p>
    <w:p w:rsidR="00305586" w:rsidRPr="001959E4" w:rsidRDefault="00305586" w:rsidP="00305586">
      <w:pPr>
        <w:ind w:left="-567"/>
        <w:rPr>
          <w:sz w:val="16"/>
          <w:szCs w:val="16"/>
        </w:rPr>
      </w:pPr>
    </w:p>
    <w:p w:rsidR="00305586" w:rsidRPr="001959E4" w:rsidRDefault="00305586" w:rsidP="00305586">
      <w:pPr>
        <w:ind w:left="-567"/>
        <w:rPr>
          <w:sz w:val="16"/>
          <w:szCs w:val="16"/>
        </w:rPr>
      </w:pPr>
      <w:r w:rsidRPr="001959E4">
        <w:rPr>
          <w:sz w:val="16"/>
          <w:szCs w:val="16"/>
        </w:rPr>
        <w:t>Устройство пескоразбрасывателя состоит из отдельных элементов (в том числе бункер не является сварным), устойчивость конструкции обеспечивается внутренними рёбрами жёсткости,  в случае ЧП (аварии, удара) повреждённый элемент конструкции можно заменить отдельно, без проведения сварочных работ или полной замены.</w:t>
      </w:r>
    </w:p>
    <w:p w:rsidR="00305586" w:rsidRPr="001959E4" w:rsidRDefault="00305586" w:rsidP="00305586">
      <w:pPr>
        <w:ind w:left="-567"/>
        <w:rPr>
          <w:sz w:val="16"/>
          <w:szCs w:val="16"/>
        </w:rPr>
      </w:pPr>
    </w:p>
    <w:p w:rsidR="00305586" w:rsidRPr="001959E4" w:rsidRDefault="00305586" w:rsidP="00305586">
      <w:pPr>
        <w:ind w:left="-567"/>
        <w:rPr>
          <w:sz w:val="16"/>
          <w:szCs w:val="16"/>
        </w:rPr>
      </w:pPr>
      <w:r w:rsidRPr="001959E4">
        <w:rPr>
          <w:sz w:val="16"/>
          <w:szCs w:val="16"/>
        </w:rPr>
        <w:t>Так же имеется возможность при  необходимости увеличить объём бункера за счёт надстройки, тем самым увеличив с 9 м3 до 12 м3.</w:t>
      </w:r>
    </w:p>
    <w:p w:rsidR="00FD089E" w:rsidRPr="001959E4" w:rsidRDefault="00FD089E" w:rsidP="00FD089E">
      <w:pPr>
        <w:ind w:left="-284"/>
        <w:jc w:val="center"/>
        <w:rPr>
          <w:rFonts w:ascii="Arial" w:hAnsi="Arial" w:cs="Arial"/>
          <w:sz w:val="16"/>
          <w:szCs w:val="16"/>
        </w:rPr>
      </w:pPr>
    </w:p>
    <w:p w:rsidR="00FD089E" w:rsidRPr="001959E4" w:rsidRDefault="00FD089E" w:rsidP="00FD089E">
      <w:pPr>
        <w:ind w:left="-284"/>
        <w:jc w:val="center"/>
        <w:rPr>
          <w:rFonts w:ascii="Arial" w:hAnsi="Arial" w:cs="Arial"/>
          <w:sz w:val="16"/>
          <w:szCs w:val="16"/>
        </w:rPr>
      </w:pPr>
    </w:p>
    <w:p w:rsidR="00CF4D69" w:rsidRPr="001959E4" w:rsidRDefault="00CF4D69" w:rsidP="00CF4D69">
      <w:pPr>
        <w:jc w:val="center"/>
        <w:rPr>
          <w:rFonts w:ascii="Arial" w:hAnsi="Arial" w:cs="Arial"/>
          <w:b/>
          <w:sz w:val="16"/>
          <w:szCs w:val="16"/>
        </w:rPr>
      </w:pPr>
      <w:r w:rsidRPr="001959E4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218"/>
        <w:gridCol w:w="2609"/>
        <w:gridCol w:w="2610"/>
      </w:tblGrid>
      <w:tr w:rsidR="001A67A1" w:rsidRPr="001959E4" w:rsidTr="001A67A1">
        <w:trPr>
          <w:cnfStyle w:val="100000000000"/>
        </w:trPr>
        <w:tc>
          <w:tcPr>
            <w:cnfStyle w:val="001000000000"/>
            <w:tcW w:w="5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</w:tcPr>
          <w:p w:rsidR="001A67A1" w:rsidRPr="001959E4" w:rsidRDefault="001A67A1" w:rsidP="001A67A1">
            <w:pPr>
              <w:rPr>
                <w:rFonts w:ascii="Arial" w:hAnsi="Arial" w:cs="Arial"/>
                <w:sz w:val="16"/>
                <w:szCs w:val="16"/>
              </w:rPr>
            </w:pPr>
            <w:r w:rsidRPr="001959E4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</w:tcPr>
          <w:p w:rsidR="001A67A1" w:rsidRPr="001959E4" w:rsidRDefault="001A67A1" w:rsidP="00BC659C">
            <w:pPr>
              <w:jc w:val="center"/>
              <w:cnfStyle w:val="1000000000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59E4">
              <w:rPr>
                <w:rFonts w:ascii="Arial" w:hAnsi="Arial" w:cs="Arial"/>
                <w:sz w:val="16"/>
                <w:szCs w:val="16"/>
                <w:lang w:val="en-US"/>
              </w:rPr>
              <w:t>SPR-</w:t>
            </w:r>
            <w:r w:rsidR="00BC659C" w:rsidRPr="001959E4">
              <w:rPr>
                <w:rFonts w:ascii="Arial" w:hAnsi="Arial" w:cs="Arial"/>
                <w:sz w:val="16"/>
                <w:szCs w:val="16"/>
              </w:rPr>
              <w:t>8</w:t>
            </w:r>
            <w:r w:rsidRPr="001959E4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</w:tcPr>
          <w:p w:rsidR="001A67A1" w:rsidRPr="001959E4" w:rsidRDefault="001A67A1" w:rsidP="00BC659C">
            <w:pPr>
              <w:jc w:val="center"/>
              <w:cnfStyle w:val="1000000000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59E4">
              <w:rPr>
                <w:rFonts w:ascii="Arial" w:hAnsi="Arial" w:cs="Arial"/>
                <w:sz w:val="16"/>
                <w:szCs w:val="16"/>
                <w:lang w:val="en-US"/>
              </w:rPr>
              <w:t>SPR-</w:t>
            </w:r>
            <w:r w:rsidR="00BC659C" w:rsidRPr="001959E4">
              <w:rPr>
                <w:rFonts w:ascii="Arial" w:hAnsi="Arial" w:cs="Arial"/>
                <w:sz w:val="16"/>
                <w:szCs w:val="16"/>
              </w:rPr>
              <w:t>9</w:t>
            </w:r>
            <w:r w:rsidRPr="001959E4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1A67A1" w:rsidRPr="001959E4" w:rsidTr="001A67A1">
        <w:trPr>
          <w:cnfStyle w:val="000000100000"/>
        </w:trPr>
        <w:tc>
          <w:tcPr>
            <w:cnfStyle w:val="001000000000"/>
            <w:tcW w:w="521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1A67A1" w:rsidRPr="001959E4" w:rsidRDefault="001A67A1" w:rsidP="001A67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959E4">
              <w:rPr>
                <w:rFonts w:ascii="Arial" w:hAnsi="Arial" w:cs="Arial"/>
                <w:b w:val="0"/>
                <w:sz w:val="16"/>
                <w:szCs w:val="16"/>
              </w:rPr>
              <w:t xml:space="preserve">Длина рамы, </w:t>
            </w:r>
            <w:proofErr w:type="gramStart"/>
            <w:r w:rsidRPr="001959E4">
              <w:rPr>
                <w:rFonts w:ascii="Arial" w:hAnsi="Arial" w:cs="Arial"/>
                <w:b w:val="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2609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A67A1" w:rsidRPr="001959E4" w:rsidRDefault="00BC659C" w:rsidP="001A67A1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1959E4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2610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1A67A1" w:rsidRPr="001959E4" w:rsidRDefault="00BC659C" w:rsidP="001A67A1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1959E4">
              <w:rPr>
                <w:rFonts w:ascii="Arial" w:hAnsi="Arial" w:cs="Arial"/>
                <w:sz w:val="16"/>
                <w:szCs w:val="16"/>
              </w:rPr>
              <w:t>5</w:t>
            </w:r>
            <w:r w:rsidR="00A125B4" w:rsidRPr="001959E4">
              <w:rPr>
                <w:rFonts w:ascii="Arial" w:hAnsi="Arial" w:cs="Arial"/>
                <w:sz w:val="16"/>
                <w:szCs w:val="16"/>
              </w:rPr>
              <w:t>5</w:t>
            </w:r>
            <w:r w:rsidR="001A67A1" w:rsidRPr="001959E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1A67A1" w:rsidRPr="001959E4" w:rsidTr="001A67A1">
        <w:trPr>
          <w:cnfStyle w:val="000000010000"/>
        </w:trPr>
        <w:tc>
          <w:tcPr>
            <w:cnfStyle w:val="001000000000"/>
            <w:tcW w:w="5218" w:type="dxa"/>
            <w:tcBorders>
              <w:right w:val="none" w:sz="0" w:space="0" w:color="auto"/>
            </w:tcBorders>
            <w:shd w:val="clear" w:color="auto" w:fill="BFBFBF" w:themeFill="background1" w:themeFillShade="BF"/>
          </w:tcPr>
          <w:p w:rsidR="001A67A1" w:rsidRPr="001959E4" w:rsidRDefault="001A67A1" w:rsidP="001A67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959E4">
              <w:rPr>
                <w:rFonts w:ascii="Arial" w:hAnsi="Arial" w:cs="Arial"/>
                <w:b w:val="0"/>
                <w:sz w:val="16"/>
                <w:szCs w:val="16"/>
              </w:rPr>
              <w:t xml:space="preserve">Собственная масса, </w:t>
            </w:r>
            <w:proofErr w:type="gramStart"/>
            <w:r w:rsidRPr="001959E4">
              <w:rPr>
                <w:rFonts w:ascii="Arial" w:hAnsi="Arial" w:cs="Arial"/>
                <w:b w:val="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609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1A67A1" w:rsidRPr="001959E4" w:rsidRDefault="00BC659C" w:rsidP="001A67A1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1959E4">
              <w:rPr>
                <w:rFonts w:ascii="Arial" w:hAnsi="Arial" w:cs="Arial"/>
                <w:sz w:val="16"/>
                <w:szCs w:val="16"/>
              </w:rPr>
              <w:t>2450</w:t>
            </w:r>
          </w:p>
        </w:tc>
        <w:tc>
          <w:tcPr>
            <w:tcW w:w="2610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:rsidR="001A67A1" w:rsidRPr="001959E4" w:rsidRDefault="00BC659C" w:rsidP="001A67A1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1959E4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</w:tr>
      <w:tr w:rsidR="001A67A1" w:rsidRPr="001959E4" w:rsidTr="001A67A1">
        <w:trPr>
          <w:cnfStyle w:val="000000100000"/>
        </w:trPr>
        <w:tc>
          <w:tcPr>
            <w:cnfStyle w:val="001000000000"/>
            <w:tcW w:w="521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1A67A1" w:rsidRPr="001959E4" w:rsidRDefault="001A67A1" w:rsidP="001A67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959E4">
              <w:rPr>
                <w:rFonts w:ascii="Arial" w:hAnsi="Arial" w:cs="Arial"/>
                <w:b w:val="0"/>
                <w:sz w:val="16"/>
                <w:szCs w:val="16"/>
              </w:rPr>
              <w:t>Вместимость бункера м</w:t>
            </w:r>
            <w:r w:rsidRPr="001959E4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09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A67A1" w:rsidRPr="001959E4" w:rsidRDefault="00BC659C" w:rsidP="001A67A1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1959E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10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1A67A1" w:rsidRPr="001959E4" w:rsidRDefault="00BC659C" w:rsidP="001A67A1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1959E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A67A1" w:rsidRPr="001959E4" w:rsidTr="001A67A1">
        <w:trPr>
          <w:cnfStyle w:val="000000010000"/>
        </w:trPr>
        <w:tc>
          <w:tcPr>
            <w:cnfStyle w:val="001000000000"/>
            <w:tcW w:w="5218" w:type="dxa"/>
            <w:tcBorders>
              <w:right w:val="none" w:sz="0" w:space="0" w:color="auto"/>
            </w:tcBorders>
            <w:shd w:val="clear" w:color="auto" w:fill="BFBFBF" w:themeFill="background1" w:themeFillShade="BF"/>
          </w:tcPr>
          <w:p w:rsidR="001A67A1" w:rsidRPr="001959E4" w:rsidRDefault="001A67A1" w:rsidP="001A67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959E4">
              <w:rPr>
                <w:rFonts w:ascii="Arial" w:hAnsi="Arial" w:cs="Arial"/>
                <w:b w:val="0"/>
                <w:sz w:val="16"/>
                <w:szCs w:val="16"/>
              </w:rPr>
              <w:t xml:space="preserve">Ширина разбрасывания, </w:t>
            </w:r>
            <w:proofErr w:type="gramStart"/>
            <w:r w:rsidRPr="001959E4">
              <w:rPr>
                <w:rFonts w:ascii="Arial" w:hAnsi="Arial" w:cs="Arial"/>
                <w:b w:val="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2609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1A67A1" w:rsidRPr="001959E4" w:rsidRDefault="001A67A1" w:rsidP="001A67A1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1959E4">
              <w:rPr>
                <w:rFonts w:ascii="Arial" w:hAnsi="Arial" w:cs="Arial"/>
                <w:sz w:val="16"/>
                <w:szCs w:val="16"/>
              </w:rPr>
              <w:t>2-12</w:t>
            </w:r>
          </w:p>
        </w:tc>
        <w:tc>
          <w:tcPr>
            <w:tcW w:w="2610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:rsidR="001A67A1" w:rsidRPr="001959E4" w:rsidRDefault="001A67A1" w:rsidP="001A67A1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1959E4">
              <w:rPr>
                <w:rFonts w:ascii="Arial" w:hAnsi="Arial" w:cs="Arial"/>
                <w:sz w:val="16"/>
                <w:szCs w:val="16"/>
              </w:rPr>
              <w:t>2-12</w:t>
            </w:r>
          </w:p>
        </w:tc>
      </w:tr>
    </w:tbl>
    <w:p w:rsidR="00CF4D69" w:rsidRPr="001959E4" w:rsidRDefault="00CF4D69" w:rsidP="00CF4D69">
      <w:pPr>
        <w:rPr>
          <w:rFonts w:ascii="Arial" w:hAnsi="Arial" w:cs="Arial"/>
          <w:sz w:val="16"/>
          <w:szCs w:val="16"/>
        </w:rPr>
      </w:pPr>
    </w:p>
    <w:p w:rsidR="00CF4D69" w:rsidRPr="001959E4" w:rsidRDefault="00CF4D69" w:rsidP="00CF4D69">
      <w:pPr>
        <w:rPr>
          <w:rFonts w:ascii="Arial" w:hAnsi="Arial" w:cs="Arial"/>
          <w:b/>
          <w:sz w:val="16"/>
          <w:szCs w:val="16"/>
        </w:rPr>
      </w:pPr>
      <w:r w:rsidRPr="001959E4">
        <w:rPr>
          <w:rFonts w:ascii="Arial" w:hAnsi="Arial" w:cs="Arial"/>
          <w:b/>
          <w:sz w:val="16"/>
          <w:szCs w:val="16"/>
        </w:rPr>
        <w:t>Базовая комплектация:</w:t>
      </w:r>
    </w:p>
    <w:p w:rsidR="00CF4D69" w:rsidRPr="001959E4" w:rsidRDefault="00907508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 xml:space="preserve">Бункер, разбрасывающая система, транспортер, лоток из нержавеющей стали </w:t>
      </w:r>
      <w:r w:rsidRPr="001959E4">
        <w:rPr>
          <w:rFonts w:ascii="Arial" w:hAnsi="Arial" w:cs="Arial"/>
          <w:sz w:val="16"/>
          <w:szCs w:val="16"/>
          <w:lang w:val="en-US"/>
        </w:rPr>
        <w:t>IASI</w:t>
      </w:r>
      <w:r w:rsidRPr="001959E4">
        <w:rPr>
          <w:rFonts w:ascii="Arial" w:hAnsi="Arial" w:cs="Arial"/>
          <w:sz w:val="16"/>
          <w:szCs w:val="16"/>
        </w:rPr>
        <w:t xml:space="preserve"> 304/316;</w:t>
      </w:r>
    </w:p>
    <w:p w:rsidR="00907508" w:rsidRPr="001959E4" w:rsidRDefault="00907508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proofErr w:type="spellStart"/>
      <w:r w:rsidRPr="001959E4">
        <w:rPr>
          <w:rFonts w:ascii="Arial" w:hAnsi="Arial" w:cs="Arial"/>
          <w:sz w:val="16"/>
          <w:szCs w:val="16"/>
        </w:rPr>
        <w:t>Гидросистема</w:t>
      </w:r>
      <w:proofErr w:type="spellEnd"/>
      <w:r w:rsidRPr="001959E4">
        <w:rPr>
          <w:rFonts w:ascii="Arial" w:hAnsi="Arial" w:cs="Arial"/>
          <w:sz w:val="16"/>
          <w:szCs w:val="16"/>
        </w:rPr>
        <w:t>;</w:t>
      </w:r>
    </w:p>
    <w:p w:rsidR="00907508" w:rsidRPr="001959E4" w:rsidRDefault="00907508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 xml:space="preserve">Электрооборудование </w:t>
      </w:r>
      <w:r w:rsidRPr="001959E4">
        <w:rPr>
          <w:rFonts w:ascii="Arial" w:hAnsi="Arial" w:cs="Arial"/>
          <w:sz w:val="16"/>
          <w:szCs w:val="16"/>
          <w:lang w:val="en-US"/>
        </w:rPr>
        <w:t>IP</w:t>
      </w:r>
      <w:r w:rsidRPr="001959E4">
        <w:rPr>
          <w:rFonts w:ascii="Arial" w:hAnsi="Arial" w:cs="Arial"/>
          <w:sz w:val="16"/>
          <w:szCs w:val="16"/>
        </w:rPr>
        <w:t xml:space="preserve"> 55/65 на 12 или 24 Вольт;</w:t>
      </w:r>
    </w:p>
    <w:p w:rsidR="00907508" w:rsidRPr="001959E4" w:rsidRDefault="00907508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>Проблесковый маячок, приборы освещения;</w:t>
      </w:r>
    </w:p>
    <w:p w:rsidR="00907508" w:rsidRPr="001959E4" w:rsidRDefault="00907508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>Комплект сенсоров на наличие реагентов;</w:t>
      </w:r>
    </w:p>
    <w:p w:rsidR="00907508" w:rsidRPr="001959E4" w:rsidRDefault="00907508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>Внутренняя направляющая для облегчения подачи реагента на транспортер;</w:t>
      </w:r>
    </w:p>
    <w:p w:rsidR="00BA53C1" w:rsidRPr="001959E4" w:rsidRDefault="00BA53C1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>Лестница;</w:t>
      </w:r>
    </w:p>
    <w:p w:rsidR="00BA53C1" w:rsidRPr="001959E4" w:rsidRDefault="00BA53C1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>Крепежный комплект для фиксации на автомобиле;</w:t>
      </w:r>
    </w:p>
    <w:p w:rsidR="00907508" w:rsidRPr="001959E4" w:rsidRDefault="00907508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>Пульт управления.</w:t>
      </w:r>
    </w:p>
    <w:p w:rsidR="00BA53C1" w:rsidRPr="001959E4" w:rsidRDefault="00CF4D69" w:rsidP="00BA53C1">
      <w:pPr>
        <w:rPr>
          <w:rFonts w:ascii="Arial" w:hAnsi="Arial" w:cs="Arial"/>
          <w:b/>
          <w:sz w:val="16"/>
          <w:szCs w:val="16"/>
        </w:rPr>
      </w:pPr>
      <w:r w:rsidRPr="001959E4">
        <w:rPr>
          <w:rFonts w:ascii="Arial" w:hAnsi="Arial" w:cs="Arial"/>
          <w:b/>
          <w:sz w:val="16"/>
          <w:szCs w:val="16"/>
        </w:rPr>
        <w:t>Опции:</w:t>
      </w:r>
    </w:p>
    <w:p w:rsidR="00BA53C1" w:rsidRPr="001959E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>Дизельный автономный двигатель;</w:t>
      </w:r>
    </w:p>
    <w:p w:rsidR="00BA53C1" w:rsidRPr="001959E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 xml:space="preserve">Панель с модулем </w:t>
      </w:r>
      <w:r w:rsidRPr="001959E4">
        <w:rPr>
          <w:rFonts w:ascii="Arial" w:hAnsi="Arial" w:cs="Arial"/>
          <w:sz w:val="16"/>
          <w:szCs w:val="16"/>
          <w:lang w:val="en-US"/>
        </w:rPr>
        <w:t>GPS</w:t>
      </w:r>
      <w:r w:rsidRPr="001959E4">
        <w:rPr>
          <w:rFonts w:ascii="Arial" w:hAnsi="Arial" w:cs="Arial"/>
          <w:sz w:val="16"/>
          <w:szCs w:val="16"/>
        </w:rPr>
        <w:t>, тент для закрытия бункера из ПВХ;</w:t>
      </w:r>
    </w:p>
    <w:p w:rsidR="00BA53C1" w:rsidRPr="001959E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>Задний предупредительный знак;</w:t>
      </w:r>
    </w:p>
    <w:p w:rsidR="00BA53C1" w:rsidRPr="001959E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>Комплект для ассиметричного посыпания с кнопочным механизмом;</w:t>
      </w:r>
    </w:p>
    <w:p w:rsidR="00BA53C1" w:rsidRPr="001959E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>Наружные вибраторы с управлением на пульте;</w:t>
      </w:r>
    </w:p>
    <w:p w:rsidR="00BA53C1" w:rsidRPr="001959E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>Опоры хранения;</w:t>
      </w:r>
    </w:p>
    <w:p w:rsidR="00BA53C1" w:rsidRPr="001959E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>Комплект для подачи растворенной соли (система смачивания);</w:t>
      </w:r>
    </w:p>
    <w:p w:rsidR="00BA53C1" w:rsidRPr="001959E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>Задний бампер с двойными фарами;</w:t>
      </w:r>
    </w:p>
    <w:p w:rsidR="00BA53C1" w:rsidRPr="001959E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1959E4">
        <w:rPr>
          <w:rFonts w:ascii="Arial" w:hAnsi="Arial" w:cs="Arial"/>
          <w:sz w:val="16"/>
          <w:szCs w:val="16"/>
        </w:rPr>
        <w:t>Боковые ролики для установки в кузов автомобиля.</w:t>
      </w:r>
    </w:p>
    <w:p w:rsidR="00BA53C1" w:rsidRPr="00BA53C1" w:rsidRDefault="00BA53C1" w:rsidP="00BA53C1">
      <w:pPr>
        <w:pStyle w:val="a4"/>
        <w:rPr>
          <w:rFonts w:ascii="Arial" w:hAnsi="Arial" w:cs="Arial"/>
          <w:sz w:val="20"/>
        </w:rPr>
      </w:pPr>
    </w:p>
    <w:sectPr w:rsidR="00BA53C1" w:rsidRPr="00BA53C1" w:rsidSect="00F03EB4">
      <w:headerReference w:type="default" r:id="rId9"/>
      <w:footerReference w:type="default" r:id="rId10"/>
      <w:pgSz w:w="11906" w:h="16838"/>
      <w:pgMar w:top="2094" w:right="566" w:bottom="1134" w:left="111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84" w:rsidRDefault="00B90584" w:rsidP="0007488D">
      <w:r>
        <w:separator/>
      </w:r>
    </w:p>
  </w:endnote>
  <w:endnote w:type="continuationSeparator" w:id="0">
    <w:p w:rsidR="00B90584" w:rsidRDefault="00B90584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84" w:rsidRDefault="00B90584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84" w:rsidRDefault="00B90584" w:rsidP="0007488D">
      <w:r>
        <w:separator/>
      </w:r>
    </w:p>
  </w:footnote>
  <w:footnote w:type="continuationSeparator" w:id="0">
    <w:p w:rsidR="00B90584" w:rsidRDefault="00B90584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84" w:rsidRDefault="00B90584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0584" w:rsidRDefault="00B90584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4797100</wp:posOffset>
          </wp:positionH>
          <wp:positionV relativeFrom="paragraph">
            <wp:posOffset>107123</wp:posOffset>
          </wp:positionV>
          <wp:extent cx="1190847" cy="552893"/>
          <wp:effectExtent l="0" t="0" r="0" b="0"/>
          <wp:wrapNone/>
          <wp:docPr id="1" name="Рисунок 1" descr="C:\Documents and Settings\user3\Рабочий стол\Snow Serv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Snow Serv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47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068F"/>
    <w:multiLevelType w:val="hybridMultilevel"/>
    <w:tmpl w:val="7B784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32BA"/>
    <w:multiLevelType w:val="hybridMultilevel"/>
    <w:tmpl w:val="ACCC9E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E05502E"/>
    <w:multiLevelType w:val="hybridMultilevel"/>
    <w:tmpl w:val="6D9A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224FA"/>
    <w:multiLevelType w:val="hybridMultilevel"/>
    <w:tmpl w:val="657C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5F75"/>
    <w:rsid w:val="00045706"/>
    <w:rsid w:val="00060BDD"/>
    <w:rsid w:val="000613EE"/>
    <w:rsid w:val="0007488D"/>
    <w:rsid w:val="00076970"/>
    <w:rsid w:val="000B0630"/>
    <w:rsid w:val="000B2E8C"/>
    <w:rsid w:val="000B3396"/>
    <w:rsid w:val="000D48E1"/>
    <w:rsid w:val="000D67D1"/>
    <w:rsid w:val="000E7FC6"/>
    <w:rsid w:val="00130790"/>
    <w:rsid w:val="0016093E"/>
    <w:rsid w:val="00171A7C"/>
    <w:rsid w:val="0019196A"/>
    <w:rsid w:val="001959E4"/>
    <w:rsid w:val="001A1802"/>
    <w:rsid w:val="001A67A1"/>
    <w:rsid w:val="001B5F38"/>
    <w:rsid w:val="001F49AC"/>
    <w:rsid w:val="0020429E"/>
    <w:rsid w:val="0023455F"/>
    <w:rsid w:val="0028593F"/>
    <w:rsid w:val="00296646"/>
    <w:rsid w:val="002A49A5"/>
    <w:rsid w:val="002D3CAF"/>
    <w:rsid w:val="002F315C"/>
    <w:rsid w:val="00305586"/>
    <w:rsid w:val="00312E03"/>
    <w:rsid w:val="0035274D"/>
    <w:rsid w:val="00356EE9"/>
    <w:rsid w:val="00365EF3"/>
    <w:rsid w:val="0038228F"/>
    <w:rsid w:val="003B4C3E"/>
    <w:rsid w:val="003C26DC"/>
    <w:rsid w:val="003D1D73"/>
    <w:rsid w:val="003D3B89"/>
    <w:rsid w:val="003F1956"/>
    <w:rsid w:val="003F5605"/>
    <w:rsid w:val="00420B47"/>
    <w:rsid w:val="004222B4"/>
    <w:rsid w:val="00442B3A"/>
    <w:rsid w:val="00447617"/>
    <w:rsid w:val="00454EB9"/>
    <w:rsid w:val="0046520A"/>
    <w:rsid w:val="004817A2"/>
    <w:rsid w:val="004B59A8"/>
    <w:rsid w:val="004C15F9"/>
    <w:rsid w:val="004E4AD9"/>
    <w:rsid w:val="005304B3"/>
    <w:rsid w:val="00535200"/>
    <w:rsid w:val="00561998"/>
    <w:rsid w:val="00566103"/>
    <w:rsid w:val="005675B1"/>
    <w:rsid w:val="005B14D6"/>
    <w:rsid w:val="005C158E"/>
    <w:rsid w:val="005D0321"/>
    <w:rsid w:val="005F5987"/>
    <w:rsid w:val="006051F0"/>
    <w:rsid w:val="00607EDF"/>
    <w:rsid w:val="0061063E"/>
    <w:rsid w:val="0065279D"/>
    <w:rsid w:val="006709F5"/>
    <w:rsid w:val="006769CC"/>
    <w:rsid w:val="00676E62"/>
    <w:rsid w:val="006D0E6C"/>
    <w:rsid w:val="006D47AF"/>
    <w:rsid w:val="006E0B8C"/>
    <w:rsid w:val="006E2757"/>
    <w:rsid w:val="006E744E"/>
    <w:rsid w:val="006F086F"/>
    <w:rsid w:val="006F3890"/>
    <w:rsid w:val="00722C09"/>
    <w:rsid w:val="007367F1"/>
    <w:rsid w:val="00761B94"/>
    <w:rsid w:val="00782C20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A6680"/>
    <w:rsid w:val="008D171A"/>
    <w:rsid w:val="008E3C6E"/>
    <w:rsid w:val="00906AEB"/>
    <w:rsid w:val="00907508"/>
    <w:rsid w:val="00922134"/>
    <w:rsid w:val="0092779F"/>
    <w:rsid w:val="0094272D"/>
    <w:rsid w:val="009457EC"/>
    <w:rsid w:val="00983984"/>
    <w:rsid w:val="009B0B5E"/>
    <w:rsid w:val="009C149E"/>
    <w:rsid w:val="009D4DF5"/>
    <w:rsid w:val="00A125B4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B4111B"/>
    <w:rsid w:val="00B47196"/>
    <w:rsid w:val="00B51318"/>
    <w:rsid w:val="00B624EA"/>
    <w:rsid w:val="00B75C21"/>
    <w:rsid w:val="00B90584"/>
    <w:rsid w:val="00B92137"/>
    <w:rsid w:val="00BA212D"/>
    <w:rsid w:val="00BA2D7C"/>
    <w:rsid w:val="00BA53C1"/>
    <w:rsid w:val="00BC659C"/>
    <w:rsid w:val="00C26351"/>
    <w:rsid w:val="00C831D8"/>
    <w:rsid w:val="00C8591E"/>
    <w:rsid w:val="00CA582D"/>
    <w:rsid w:val="00CC1316"/>
    <w:rsid w:val="00CD6158"/>
    <w:rsid w:val="00CF4D69"/>
    <w:rsid w:val="00D125FD"/>
    <w:rsid w:val="00D34668"/>
    <w:rsid w:val="00D6799E"/>
    <w:rsid w:val="00D84030"/>
    <w:rsid w:val="00D906C5"/>
    <w:rsid w:val="00D9586A"/>
    <w:rsid w:val="00DB548B"/>
    <w:rsid w:val="00DC03FA"/>
    <w:rsid w:val="00DC618E"/>
    <w:rsid w:val="00DF0BD3"/>
    <w:rsid w:val="00E479E7"/>
    <w:rsid w:val="00E82301"/>
    <w:rsid w:val="00EF7DCF"/>
    <w:rsid w:val="00F03EB4"/>
    <w:rsid w:val="00F20770"/>
    <w:rsid w:val="00F46D44"/>
    <w:rsid w:val="00F476E6"/>
    <w:rsid w:val="00F61EF0"/>
    <w:rsid w:val="00F871F1"/>
    <w:rsid w:val="00FB3D2F"/>
    <w:rsid w:val="00FB7674"/>
    <w:rsid w:val="00FC334E"/>
    <w:rsid w:val="00FD0790"/>
    <w:rsid w:val="00FD089E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table" w:styleId="1">
    <w:name w:val="Medium Shading 1"/>
    <w:basedOn w:val="a1"/>
    <w:uiPriority w:val="63"/>
    <w:rsid w:val="001A67A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0D819-66CA-4A40-A478-547B69DC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6</cp:revision>
  <dcterms:created xsi:type="dcterms:W3CDTF">2015-09-18T10:01:00Z</dcterms:created>
  <dcterms:modified xsi:type="dcterms:W3CDTF">2015-09-21T10:35:00Z</dcterms:modified>
</cp:coreProperties>
</file>